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
        <w:gridCol w:w="8590"/>
      </w:tblGrid>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Q</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What is the Road Safety Levy?</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A</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The Road Safety Levy is an annual fee charged as part of vehicle registration.</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 xml:space="preserve">Funds raised through the collection of the Road Safety Levy are used for Government road safety initiatives, with the aim of reducing the number of serious injuries and deaths on Tasmanian roads as a result of road trauma. </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Q</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When will changes to the Road Safety Levy come into effect?</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A</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 xml:space="preserve">Changes to the Road Safety Levy will commence on 1 July 2017.  </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 xml:space="preserve">From 1 July 2017 the Road Safety Levy will be prescribed at 16.13 Fee Units and 9.68 Fee Units concession, which is equivalent to the current $25 and $15 concession paid by vehicle operators. The Road Safety Levy will be indexed annually, in line with Fee Unit rises, from 1 July 2018. </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 xml:space="preserve">The Road Safety Levy will be extended for a period of 10 years (1 July 2017 to 30 June 2027). This is in line with the </w:t>
            </w:r>
            <w:r w:rsidRPr="00FF0178">
              <w:rPr>
                <w:rFonts w:asciiTheme="majorHAnsi" w:hAnsiTheme="majorHAnsi"/>
                <w:i/>
                <w:sz w:val="22"/>
                <w:szCs w:val="22"/>
              </w:rPr>
              <w:t xml:space="preserve">Towards Zero - Tasmanian Road Safety 2017-2026 </w:t>
            </w:r>
            <w:r w:rsidRPr="00FF0178">
              <w:rPr>
                <w:rFonts w:asciiTheme="majorHAnsi" w:hAnsiTheme="majorHAnsi"/>
                <w:sz w:val="22"/>
                <w:szCs w:val="22"/>
              </w:rPr>
              <w:t>(Towards Zero Strategy).</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Q</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How will future increases to the Road Safety Levy be calculated?</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A</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From the 1 July 2018, the Road Safety Levy, included as part of vehicle registrations fees, will be increased annually.</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 xml:space="preserve">The Road Safety Levy will be indexed according to Government Fee Units. </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 xml:space="preserve">Fee Units provide a standard methodology for the automatic indexation of Government fees in line with the Consumer Price Index for Hobart. Vehicle registration and licensing fees are also set according to Fee Units. </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For more information on calculating Fee Units visit www.treasury.tas.gov.au.</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Q</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Who will be required to pay the Road Safety Levy?</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A</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The Road Safety Levy applies to all registered vehicles with general access to the road network.  Limited or restricted access vehicles are excluded from paying the levy.</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A full list of inclusions and exclusions by vehicle type is shown below.</w:t>
            </w:r>
          </w:p>
          <w:tbl>
            <w:tblPr>
              <w:tblW w:w="5386" w:type="dxa"/>
              <w:tblLook w:val="04A0" w:firstRow="1" w:lastRow="0" w:firstColumn="1" w:lastColumn="0" w:noHBand="0" w:noVBand="1"/>
            </w:tblPr>
            <w:tblGrid>
              <w:gridCol w:w="2551"/>
              <w:gridCol w:w="2835"/>
            </w:tblGrid>
            <w:tr w:rsidR="00FF0178" w:rsidRPr="00FF0178">
              <w:tc>
                <w:tcPr>
                  <w:tcW w:w="2551" w:type="dxa"/>
                  <w:hideMark/>
                </w:tcPr>
                <w:p w:rsidR="00FF0178" w:rsidRPr="00FF0178" w:rsidRDefault="00FF0178" w:rsidP="00FF0178">
                  <w:pPr>
                    <w:spacing w:before="240"/>
                    <w:rPr>
                      <w:rFonts w:asciiTheme="majorHAnsi" w:hAnsiTheme="majorHAnsi"/>
                      <w:b/>
                      <w:sz w:val="22"/>
                      <w:szCs w:val="22"/>
                    </w:rPr>
                  </w:pPr>
                  <w:r w:rsidRPr="00FF0178">
                    <w:rPr>
                      <w:rFonts w:asciiTheme="majorHAnsi" w:hAnsiTheme="majorHAnsi"/>
                      <w:b/>
                      <w:sz w:val="22"/>
                      <w:szCs w:val="22"/>
                    </w:rPr>
                    <w:t>Included</w:t>
                  </w:r>
                </w:p>
              </w:tc>
              <w:tc>
                <w:tcPr>
                  <w:tcW w:w="2835" w:type="dxa"/>
                  <w:hideMark/>
                </w:tcPr>
                <w:p w:rsidR="00FF0178" w:rsidRPr="00FF0178" w:rsidRDefault="00FF0178" w:rsidP="00FF0178">
                  <w:pPr>
                    <w:spacing w:before="240"/>
                    <w:rPr>
                      <w:rFonts w:asciiTheme="majorHAnsi" w:hAnsiTheme="majorHAnsi"/>
                      <w:b/>
                      <w:sz w:val="22"/>
                      <w:szCs w:val="22"/>
                    </w:rPr>
                  </w:pPr>
                  <w:r w:rsidRPr="00FF0178">
                    <w:rPr>
                      <w:rFonts w:asciiTheme="majorHAnsi" w:hAnsiTheme="majorHAnsi"/>
                      <w:b/>
                      <w:sz w:val="22"/>
                      <w:szCs w:val="22"/>
                    </w:rPr>
                    <w:t xml:space="preserve">Excluded </w:t>
                  </w:r>
                </w:p>
              </w:tc>
            </w:tr>
            <w:tr w:rsidR="00FF0178" w:rsidRPr="00FF0178">
              <w:tc>
                <w:tcPr>
                  <w:tcW w:w="2551" w:type="dxa"/>
                  <w:hideMark/>
                </w:tcPr>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Bus</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Car</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Caravan</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Horse float</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Motorcycle</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Station wagon</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Heavy trailer</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 xml:space="preserve">Domestic trailer </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Truck</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lastRenderedPageBreak/>
                    <w:t>Utility</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Van</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Work vehicles</w:t>
                  </w:r>
                </w:p>
              </w:tc>
              <w:tc>
                <w:tcPr>
                  <w:tcW w:w="2835" w:type="dxa"/>
                  <w:hideMark/>
                </w:tcPr>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lastRenderedPageBreak/>
                    <w:t>Ambulance</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Farm tractor</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Fire trailer</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Fire vehicle</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Trade plates</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Interstate trailer</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Interstate vehicle</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Off road</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Restricted vehicle</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lastRenderedPageBreak/>
                    <w:t>Restricted motorcycle</w:t>
                  </w:r>
                </w:p>
                <w:p w:rsidR="00FF0178" w:rsidRPr="00FF0178" w:rsidRDefault="00FF0178" w:rsidP="00892309">
                  <w:pPr>
                    <w:numPr>
                      <w:ilvl w:val="0"/>
                      <w:numId w:val="1"/>
                    </w:numPr>
                    <w:overflowPunct/>
                    <w:autoSpaceDE/>
                    <w:adjustRightInd/>
                    <w:rPr>
                      <w:rFonts w:asciiTheme="majorHAnsi" w:hAnsiTheme="majorHAnsi"/>
                      <w:sz w:val="22"/>
                      <w:szCs w:val="22"/>
                    </w:rPr>
                  </w:pPr>
                  <w:r w:rsidRPr="00FF0178">
                    <w:rPr>
                      <w:rFonts w:asciiTheme="majorHAnsi" w:hAnsiTheme="majorHAnsi"/>
                      <w:sz w:val="22"/>
                      <w:szCs w:val="22"/>
                    </w:rPr>
                    <w:t>Tractor</w:t>
                  </w:r>
                </w:p>
              </w:tc>
            </w:tr>
          </w:tbl>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lastRenderedPageBreak/>
              <w:t>The Road Safety Levy is to be paid for each vehicle registered, regardless of the operator.</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The Road Safety Levy is shown as a separate item on your registration notice and is calculated for the period of a vehicle’s registration (either six or 12 months).</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A concessional rate will apply to those people who are eligible to receive a concession on their vehicle registration.</w:t>
            </w:r>
          </w:p>
        </w:tc>
        <w:bookmarkStart w:id="0" w:name="_GoBack"/>
        <w:bookmarkEnd w:id="0"/>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lastRenderedPageBreak/>
              <w:t>Q</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Why do we have a Road Safety Levy?</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A</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 xml:space="preserve">The Road Safety Levy ensures a dedicated source of funding for priority road safety initiatives. It provides the ability to implement initiatives as outlined in the Towards Zero Strategy and the </w:t>
            </w:r>
            <w:r w:rsidRPr="00FF0178">
              <w:rPr>
                <w:rFonts w:asciiTheme="majorHAnsi" w:hAnsiTheme="majorHAnsi"/>
                <w:i/>
                <w:sz w:val="22"/>
                <w:szCs w:val="22"/>
              </w:rPr>
              <w:t>Towards Zero Action Plan 2017-2019</w:t>
            </w:r>
            <w:r w:rsidRPr="00FF0178">
              <w:rPr>
                <w:rFonts w:asciiTheme="majorHAnsi" w:hAnsiTheme="majorHAnsi"/>
                <w:sz w:val="22"/>
                <w:szCs w:val="22"/>
              </w:rPr>
              <w:t xml:space="preserve"> (Action Plan 2017-2019) and to continue the installation of important infrastructure safety treatments.  The Towards Zero Strategy can be downloaded from </w:t>
            </w:r>
            <w:hyperlink r:id="rId7" w:history="1">
              <w:r w:rsidRPr="00FF0178">
                <w:rPr>
                  <w:rStyle w:val="Hyperlink"/>
                  <w:rFonts w:asciiTheme="majorHAnsi" w:hAnsiTheme="majorHAnsi"/>
                  <w:sz w:val="22"/>
                  <w:szCs w:val="22"/>
                </w:rPr>
                <w:t>www.transport.tas.gov.au</w:t>
              </w:r>
            </w:hyperlink>
            <w:r w:rsidRPr="00FF0178">
              <w:rPr>
                <w:rFonts w:asciiTheme="majorHAnsi" w:hAnsiTheme="majorHAnsi"/>
                <w:sz w:val="22"/>
                <w:szCs w:val="22"/>
              </w:rPr>
              <w:t xml:space="preserve"> or </w:t>
            </w:r>
            <w:hyperlink r:id="rId8" w:history="1">
              <w:r w:rsidRPr="00FF0178">
                <w:rPr>
                  <w:rStyle w:val="Hyperlink"/>
                  <w:rFonts w:asciiTheme="majorHAnsi" w:hAnsiTheme="majorHAnsi"/>
                  <w:sz w:val="22"/>
                  <w:szCs w:val="22"/>
                </w:rPr>
                <w:t>www.towardszero.tas.gov.au</w:t>
              </w:r>
            </w:hyperlink>
            <w:r w:rsidRPr="00FF0178">
              <w:rPr>
                <w:rFonts w:asciiTheme="majorHAnsi" w:hAnsiTheme="majorHAnsi"/>
                <w:sz w:val="22"/>
                <w:szCs w:val="22"/>
              </w:rPr>
              <w:t>.</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Q</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What is the Road Safety Levy used for?</w:t>
            </w:r>
          </w:p>
        </w:tc>
      </w:tr>
      <w:tr w:rsidR="00FF0178" w:rsidTr="00FF0178">
        <w:tc>
          <w:tcPr>
            <w:tcW w:w="426"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Style w:val="Strong"/>
                <w:rFonts w:asciiTheme="majorHAnsi" w:hAnsiTheme="majorHAnsi"/>
                <w:sz w:val="22"/>
                <w:szCs w:val="22"/>
              </w:rPr>
            </w:pPr>
            <w:r w:rsidRPr="00FF0178">
              <w:rPr>
                <w:rStyle w:val="Strong"/>
                <w:rFonts w:asciiTheme="majorHAnsi" w:hAnsiTheme="majorHAnsi"/>
                <w:sz w:val="22"/>
                <w:szCs w:val="22"/>
              </w:rPr>
              <w:t>A</w:t>
            </w:r>
          </w:p>
        </w:tc>
        <w:tc>
          <w:tcPr>
            <w:tcW w:w="8590" w:type="dxa"/>
            <w:tcBorders>
              <w:top w:val="dotted" w:sz="4" w:space="0" w:color="auto"/>
              <w:left w:val="dotted" w:sz="4" w:space="0" w:color="auto"/>
              <w:bottom w:val="dotted" w:sz="4" w:space="0" w:color="auto"/>
              <w:right w:val="dotted" w:sz="4" w:space="0" w:color="auto"/>
            </w:tcBorders>
            <w:hideMark/>
          </w:tcPr>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 xml:space="preserve">Currently around 300 people are serious injured or killed on Tasmanian roads each year. Funding from the Road Safety Levy will be used to make significant changes to the road environment and to road user safety, vehicle safety and travel speeds, leading to reductions in the number of serious injuries and deaths on Tasmanian roads as a result of road trauma. </w:t>
            </w:r>
          </w:p>
          <w:p w:rsidR="00FF0178" w:rsidRPr="00FF0178" w:rsidRDefault="00FF0178" w:rsidP="00FF0178">
            <w:pPr>
              <w:spacing w:before="240"/>
              <w:rPr>
                <w:rFonts w:asciiTheme="majorHAnsi" w:hAnsiTheme="majorHAnsi"/>
                <w:sz w:val="22"/>
                <w:szCs w:val="22"/>
              </w:rPr>
            </w:pPr>
            <w:r w:rsidRPr="00FF0178">
              <w:rPr>
                <w:rFonts w:asciiTheme="majorHAnsi" w:hAnsiTheme="majorHAnsi"/>
                <w:sz w:val="22"/>
                <w:szCs w:val="22"/>
              </w:rPr>
              <w:t>Improving road safety has benefits for the whole community and individuals.</w:t>
            </w:r>
          </w:p>
        </w:tc>
      </w:tr>
    </w:tbl>
    <w:p w:rsidR="00400A99" w:rsidRDefault="00400A99"/>
    <w:sectPr w:rsidR="00400A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1C" w:rsidRDefault="00B7501C" w:rsidP="00FF0178">
      <w:r>
        <w:separator/>
      </w:r>
    </w:p>
  </w:endnote>
  <w:endnote w:type="continuationSeparator" w:id="0">
    <w:p w:rsidR="00B7501C" w:rsidRDefault="00B7501C" w:rsidP="00FF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Sans Light">
    <w:altName w:val="Times New Roman"/>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1C" w:rsidRDefault="00B7501C" w:rsidP="00FF0178">
      <w:r>
        <w:separator/>
      </w:r>
    </w:p>
  </w:footnote>
  <w:footnote w:type="continuationSeparator" w:id="0">
    <w:p w:rsidR="00B7501C" w:rsidRDefault="00B7501C" w:rsidP="00FF0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78" w:rsidRPr="00FF0178" w:rsidRDefault="00FF0178">
    <w:pPr>
      <w:pStyle w:val="Header"/>
      <w:rPr>
        <w:rFonts w:asciiTheme="majorHAnsi" w:hAnsiTheme="majorHAnsi"/>
      </w:rPr>
    </w:pPr>
    <w:r w:rsidRPr="00FF0178">
      <w:rPr>
        <w:rFonts w:asciiTheme="majorHAnsi" w:hAnsiTheme="majorHAnsi"/>
      </w:rPr>
      <w:t>ROAD SAFETY LEVY – 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10B45"/>
    <w:multiLevelType w:val="hybridMultilevel"/>
    <w:tmpl w:val="2BB2B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BA"/>
    <w:rsid w:val="00400A99"/>
    <w:rsid w:val="00892309"/>
    <w:rsid w:val="00B7501C"/>
    <w:rsid w:val="00C209EC"/>
    <w:rsid w:val="00D45FBA"/>
    <w:rsid w:val="00FF0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2DCF9-7F8E-4DD9-8732-60ABE693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78"/>
    <w:pPr>
      <w:overflowPunct w:val="0"/>
      <w:autoSpaceDE w:val="0"/>
      <w:autoSpaceDN w:val="0"/>
      <w:adjustRightInd w:val="0"/>
      <w:spacing w:after="0" w:line="240" w:lineRule="auto"/>
    </w:pPr>
    <w:rPr>
      <w:rFonts w:ascii="Times" w:eastAsia="Times New Roman" w:hAnsi="Times" w:cs="Times New Roman"/>
      <w:sz w:val="24"/>
      <w:szCs w:val="20"/>
      <w:lang w:eastAsia="en-AU"/>
    </w:rPr>
  </w:style>
  <w:style w:type="paragraph" w:styleId="Heading2">
    <w:name w:val="heading 2"/>
    <w:basedOn w:val="Normal"/>
    <w:next w:val="Normal"/>
    <w:link w:val="Heading2Char"/>
    <w:uiPriority w:val="9"/>
    <w:semiHidden/>
    <w:unhideWhenUsed/>
    <w:qFormat/>
    <w:rsid w:val="00FF017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0178"/>
    <w:rPr>
      <w:rFonts w:ascii="Calibri Light" w:eastAsia="Times New Roman" w:hAnsi="Calibri Light" w:cs="Times New Roman"/>
      <w:b/>
      <w:bCs/>
      <w:i/>
      <w:iCs/>
      <w:sz w:val="28"/>
      <w:szCs w:val="28"/>
      <w:lang w:eastAsia="en-AU"/>
    </w:rPr>
  </w:style>
  <w:style w:type="character" w:styleId="Strong">
    <w:name w:val="Strong"/>
    <w:uiPriority w:val="22"/>
    <w:qFormat/>
    <w:rsid w:val="00FF0178"/>
    <w:rPr>
      <w:rFonts w:ascii="GillSans Light" w:hAnsi="GillSans Light" w:hint="default"/>
      <w:b/>
      <w:bCs/>
      <w:sz w:val="24"/>
    </w:rPr>
  </w:style>
  <w:style w:type="character" w:styleId="IntenseEmphasis">
    <w:name w:val="Intense Emphasis"/>
    <w:uiPriority w:val="21"/>
    <w:qFormat/>
    <w:rsid w:val="00FF0178"/>
    <w:rPr>
      <w:rFonts w:ascii="GillSans Light" w:hAnsi="GillSans Light" w:hint="default"/>
      <w:i/>
      <w:iCs w:val="0"/>
      <w:color w:val="FF0000"/>
      <w:sz w:val="24"/>
      <w:szCs w:val="28"/>
    </w:rPr>
  </w:style>
  <w:style w:type="paragraph" w:styleId="Header">
    <w:name w:val="header"/>
    <w:basedOn w:val="Normal"/>
    <w:link w:val="HeaderChar"/>
    <w:uiPriority w:val="99"/>
    <w:unhideWhenUsed/>
    <w:rsid w:val="00FF0178"/>
    <w:pPr>
      <w:tabs>
        <w:tab w:val="center" w:pos="4513"/>
        <w:tab w:val="right" w:pos="9026"/>
      </w:tabs>
    </w:pPr>
  </w:style>
  <w:style w:type="character" w:customStyle="1" w:styleId="HeaderChar">
    <w:name w:val="Header Char"/>
    <w:basedOn w:val="DefaultParagraphFont"/>
    <w:link w:val="Header"/>
    <w:uiPriority w:val="99"/>
    <w:rsid w:val="00FF0178"/>
    <w:rPr>
      <w:rFonts w:ascii="Times" w:eastAsia="Times New Roman" w:hAnsi="Times" w:cs="Times New Roman"/>
      <w:sz w:val="24"/>
      <w:szCs w:val="20"/>
      <w:lang w:eastAsia="en-AU"/>
    </w:rPr>
  </w:style>
  <w:style w:type="paragraph" w:styleId="Footer">
    <w:name w:val="footer"/>
    <w:basedOn w:val="Normal"/>
    <w:link w:val="FooterChar"/>
    <w:uiPriority w:val="99"/>
    <w:unhideWhenUsed/>
    <w:rsid w:val="00FF0178"/>
    <w:pPr>
      <w:tabs>
        <w:tab w:val="center" w:pos="4513"/>
        <w:tab w:val="right" w:pos="9026"/>
      </w:tabs>
    </w:pPr>
  </w:style>
  <w:style w:type="character" w:customStyle="1" w:styleId="FooterChar">
    <w:name w:val="Footer Char"/>
    <w:basedOn w:val="DefaultParagraphFont"/>
    <w:link w:val="Footer"/>
    <w:uiPriority w:val="99"/>
    <w:rsid w:val="00FF0178"/>
    <w:rPr>
      <w:rFonts w:ascii="Times" w:eastAsia="Times New Roman" w:hAnsi="Times" w:cs="Times New Roman"/>
      <w:sz w:val="24"/>
      <w:szCs w:val="20"/>
      <w:lang w:eastAsia="en-AU"/>
    </w:rPr>
  </w:style>
  <w:style w:type="character" w:styleId="Hyperlink">
    <w:name w:val="Hyperlink"/>
    <w:basedOn w:val="DefaultParagraphFont"/>
    <w:uiPriority w:val="99"/>
    <w:unhideWhenUsed/>
    <w:rsid w:val="00FF0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ardszero.tas.gov.au" TargetMode="External"/><Relationship Id="rId3" Type="http://schemas.openxmlformats.org/officeDocument/2006/relationships/settings" Target="settings.xml"/><Relationship Id="rId7" Type="http://schemas.openxmlformats.org/officeDocument/2006/relationships/hyperlink" Target="http://www.transport.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 Georgie</dc:creator>
  <cp:keywords/>
  <dc:description/>
  <cp:lastModifiedBy>Branch, Georgie</cp:lastModifiedBy>
  <cp:revision>3</cp:revision>
  <dcterms:created xsi:type="dcterms:W3CDTF">2017-05-09T05:56:00Z</dcterms:created>
  <dcterms:modified xsi:type="dcterms:W3CDTF">2017-05-11T04:32:00Z</dcterms:modified>
</cp:coreProperties>
</file>